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pPr w:leftFromText="180" w:rightFromText="180" w:vertAnchor="page" w:horzAnchor="margin" w:tblpY="2152"/>
        <w:tblW w:w="918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08"/>
        <w:gridCol w:w="974"/>
        <w:gridCol w:w="72"/>
        <w:gridCol w:w="430"/>
        <w:gridCol w:w="420"/>
        <w:gridCol w:w="6"/>
        <w:gridCol w:w="157"/>
        <w:gridCol w:w="268"/>
        <w:gridCol w:w="142"/>
        <w:gridCol w:w="560"/>
        <w:gridCol w:w="7"/>
        <w:gridCol w:w="489"/>
        <w:gridCol w:w="73"/>
        <w:gridCol w:w="170"/>
        <w:gridCol w:w="395"/>
        <w:gridCol w:w="7"/>
        <w:gridCol w:w="139"/>
        <w:gridCol w:w="296"/>
        <w:gridCol w:w="132"/>
        <w:gridCol w:w="276"/>
        <w:gridCol w:w="40"/>
        <w:gridCol w:w="188"/>
        <w:gridCol w:w="482"/>
        <w:gridCol w:w="141"/>
        <w:gridCol w:w="7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01" w:type="dxa"/>
            <w:gridSpan w:val="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工作内容</w:t>
            </w:r>
          </w:p>
        </w:tc>
        <w:tc>
          <w:tcPr>
            <w:tcW w:w="6579" w:type="dxa"/>
            <w:gridSpan w:val="2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sz w:val="18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评价等级与范围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评价等级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一级□</w:t>
            </w:r>
          </w:p>
        </w:tc>
        <w:tc>
          <w:tcPr>
            <w:tcW w:w="227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二级□</w:t>
            </w:r>
          </w:p>
        </w:tc>
        <w:tc>
          <w:tcPr>
            <w:tcW w:w="1974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三级√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评价范围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边长=50km□</w:t>
            </w:r>
          </w:p>
        </w:tc>
        <w:tc>
          <w:tcPr>
            <w:tcW w:w="227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边长5~50km□</w:t>
            </w:r>
          </w:p>
        </w:tc>
        <w:tc>
          <w:tcPr>
            <w:tcW w:w="1974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边长=5km√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评价因子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SO</w:t>
            </w:r>
            <w:r>
              <w:rPr>
                <w:rFonts w:hint="eastAsia"/>
                <w:sz w:val="18"/>
                <w:vertAlign w:val="subscript"/>
              </w:rPr>
              <w:t>2</w:t>
            </w:r>
            <w:r>
              <w:rPr>
                <w:rFonts w:hint="eastAsia"/>
                <w:sz w:val="18"/>
              </w:rPr>
              <w:t>+NO</w:t>
            </w:r>
            <w:r>
              <w:rPr>
                <w:rFonts w:hint="eastAsia"/>
                <w:sz w:val="18"/>
                <w:vertAlign w:val="subscript"/>
              </w:rPr>
              <w:t>X</w:t>
            </w:r>
            <w:r>
              <w:rPr>
                <w:rFonts w:hint="eastAsia"/>
                <w:sz w:val="18"/>
              </w:rPr>
              <w:t>排放量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≥2000t/a□</w:t>
            </w:r>
          </w:p>
        </w:tc>
        <w:tc>
          <w:tcPr>
            <w:tcW w:w="227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500~2000t/a□</w:t>
            </w:r>
          </w:p>
        </w:tc>
        <w:tc>
          <w:tcPr>
            <w:tcW w:w="1974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＜500t/a</w:t>
            </w:r>
            <w:r>
              <w:rPr>
                <w:rFonts w:hint="eastAsia"/>
                <w:sz w:val="18"/>
              </w:rPr>
              <w:sym w:font="Wingdings 2" w:char="0052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评价因子</w:t>
            </w:r>
          </w:p>
        </w:tc>
        <w:tc>
          <w:tcPr>
            <w:tcW w:w="3525" w:type="dxa"/>
            <w:gridSpan w:val="11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基本污染物（SO</w:t>
            </w:r>
            <w:r>
              <w:rPr>
                <w:rFonts w:hint="eastAsia"/>
                <w:sz w:val="18"/>
                <w:vertAlign w:val="subscript"/>
              </w:rPr>
              <w:t>2</w:t>
            </w:r>
            <w:r>
              <w:rPr>
                <w:rFonts w:hint="eastAsia"/>
                <w:sz w:val="18"/>
              </w:rPr>
              <w:t>、NO</w:t>
            </w:r>
            <w:r>
              <w:rPr>
                <w:rFonts w:hint="eastAsia"/>
                <w:sz w:val="18"/>
                <w:vertAlign w:val="subscript"/>
              </w:rPr>
              <w:t>2</w:t>
            </w:r>
            <w:r>
              <w:rPr>
                <w:rFonts w:hint="eastAsia"/>
                <w:sz w:val="18"/>
              </w:rPr>
              <w:t>、CO、O</w:t>
            </w:r>
            <w:r>
              <w:rPr>
                <w:rFonts w:hint="eastAsia"/>
                <w:sz w:val="18"/>
                <w:vertAlign w:val="subscript"/>
              </w:rPr>
              <w:t>3</w:t>
            </w:r>
            <w:r>
              <w:rPr>
                <w:rFonts w:hint="eastAsia"/>
                <w:sz w:val="18"/>
              </w:rPr>
              <w:t>、PM</w:t>
            </w:r>
            <w:r>
              <w:rPr>
                <w:rFonts w:hint="eastAsia"/>
                <w:sz w:val="18"/>
                <w:vertAlign w:val="subscript"/>
              </w:rPr>
              <w:t>10</w:t>
            </w:r>
            <w:r>
              <w:rPr>
                <w:rFonts w:hint="eastAsia"/>
                <w:sz w:val="18"/>
              </w:rPr>
              <w:t>）</w:t>
            </w:r>
          </w:p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其他污染物（NH</w:t>
            </w:r>
            <w:r>
              <w:rPr>
                <w:rFonts w:hint="eastAsia"/>
                <w:sz w:val="18"/>
                <w:vertAlign w:val="subscript"/>
              </w:rPr>
              <w:t>3</w:t>
            </w:r>
            <w:r>
              <w:rPr>
                <w:rFonts w:hint="eastAsia"/>
                <w:sz w:val="18"/>
              </w:rPr>
              <w:t>、H</w:t>
            </w:r>
            <w:r>
              <w:rPr>
                <w:rFonts w:hint="eastAsia"/>
                <w:sz w:val="18"/>
                <w:vertAlign w:val="subscript"/>
              </w:rPr>
              <w:t>2</w:t>
            </w:r>
            <w:r>
              <w:rPr>
                <w:rFonts w:hint="eastAsia"/>
                <w:sz w:val="18"/>
              </w:rPr>
              <w:t>S）</w:t>
            </w:r>
          </w:p>
        </w:tc>
        <w:tc>
          <w:tcPr>
            <w:tcW w:w="3054" w:type="dxa"/>
            <w:gridSpan w:val="1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包括二次PM</w:t>
            </w:r>
            <w:r>
              <w:rPr>
                <w:rFonts w:hint="eastAsia"/>
                <w:sz w:val="18"/>
                <w:vertAlign w:val="subscript"/>
              </w:rPr>
              <w:t>2.5</w:t>
            </w:r>
            <w:r>
              <w:rPr>
                <w:rFonts w:hint="eastAsia"/>
                <w:sz w:val="18"/>
              </w:rPr>
              <w:t>□</w:t>
            </w:r>
          </w:p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不包括二次PM</w:t>
            </w:r>
            <w:r>
              <w:rPr>
                <w:rFonts w:hint="eastAsia"/>
                <w:sz w:val="18"/>
                <w:vertAlign w:val="subscript"/>
              </w:rPr>
              <w:t>2.5</w:t>
            </w:r>
            <w:r>
              <w:rPr>
                <w:rFonts w:hint="eastAsia"/>
                <w:sz w:val="18"/>
              </w:rPr>
              <w:t>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评价标准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评价标准</w:t>
            </w:r>
          </w:p>
        </w:tc>
        <w:tc>
          <w:tcPr>
            <w:tcW w:w="2059" w:type="dxa"/>
            <w:gridSpan w:val="6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国家标准√</w:t>
            </w:r>
          </w:p>
        </w:tc>
        <w:tc>
          <w:tcPr>
            <w:tcW w:w="1466" w:type="dxa"/>
            <w:gridSpan w:val="5"/>
            <w:shd w:val="clear" w:color="auto" w:fill="auto"/>
            <w:vAlign w:val="center"/>
          </w:tcPr>
          <w:p>
            <w:pPr>
              <w:pStyle w:val="31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地方标准□</w:t>
            </w:r>
          </w:p>
        </w:tc>
        <w:tc>
          <w:tcPr>
            <w:tcW w:w="1528" w:type="dxa"/>
            <w:gridSpan w:val="9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附录D□</w:t>
            </w:r>
          </w:p>
        </w:tc>
        <w:tc>
          <w:tcPr>
            <w:tcW w:w="1526" w:type="dxa"/>
            <w:gridSpan w:val="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其他标准□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现状评价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环境功能区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一类区□</w:t>
            </w:r>
          </w:p>
        </w:tc>
        <w:tc>
          <w:tcPr>
            <w:tcW w:w="227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二类区√</w:t>
            </w:r>
          </w:p>
        </w:tc>
        <w:tc>
          <w:tcPr>
            <w:tcW w:w="1974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一类和二类区</w:t>
            </w:r>
            <w:r>
              <w:rPr>
                <w:rFonts w:hint="eastAsia"/>
                <w:sz w:val="18"/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评价基准年</w:t>
            </w:r>
          </w:p>
        </w:tc>
        <w:tc>
          <w:tcPr>
            <w:tcW w:w="6579" w:type="dxa"/>
            <w:gridSpan w:val="2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（201</w:t>
            </w:r>
            <w:r>
              <w:rPr>
                <w:rFonts w:hint="eastAsia"/>
                <w:sz w:val="18"/>
                <w:lang w:val="en-US" w:eastAsia="zh-CN"/>
              </w:rPr>
              <w:t>9</w:t>
            </w:r>
            <w:r>
              <w:rPr>
                <w:rFonts w:hint="eastAsia"/>
                <w:sz w:val="18"/>
              </w:rPr>
              <w:t>）年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环境空气质量现状调查数据来源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长期例行监测数据</w:t>
            </w:r>
            <w:r>
              <w:rPr>
                <w:rFonts w:hint="eastAsia"/>
                <w:sz w:val="18"/>
              </w:rPr>
              <w:sym w:font="Wingdings 2" w:char="00A3"/>
            </w:r>
          </w:p>
        </w:tc>
        <w:tc>
          <w:tcPr>
            <w:tcW w:w="227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主管部门发布的数据</w:t>
            </w:r>
            <w:r>
              <w:rPr>
                <w:rFonts w:hint="eastAsia"/>
                <w:sz w:val="18"/>
              </w:rPr>
              <w:sym w:font="Wingdings 2" w:char="0052"/>
            </w:r>
          </w:p>
        </w:tc>
        <w:tc>
          <w:tcPr>
            <w:tcW w:w="1974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现状补充监测</w:t>
            </w:r>
            <w:r>
              <w:rPr>
                <w:rFonts w:hint="eastAsia"/>
                <w:sz w:val="18"/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现状评价</w:t>
            </w:r>
          </w:p>
        </w:tc>
        <w:tc>
          <w:tcPr>
            <w:tcW w:w="3768" w:type="dxa"/>
            <w:gridSpan w:val="1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达标区</w:t>
            </w:r>
            <w:r>
              <w:rPr>
                <w:rFonts w:hint="eastAsia"/>
                <w:sz w:val="18"/>
              </w:rPr>
              <w:sym w:font="Wingdings 2" w:char="0052"/>
            </w:r>
          </w:p>
        </w:tc>
        <w:tc>
          <w:tcPr>
            <w:tcW w:w="2811" w:type="dxa"/>
            <w:gridSpan w:val="11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不达标</w:t>
            </w:r>
            <w:r>
              <w:rPr>
                <w:rFonts w:hint="eastAsia"/>
                <w:sz w:val="18"/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污染源调查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调查内容</w:t>
            </w:r>
          </w:p>
        </w:tc>
        <w:tc>
          <w:tcPr>
            <w:tcW w:w="2059" w:type="dxa"/>
            <w:gridSpan w:val="6"/>
            <w:shd w:val="clear" w:color="auto" w:fill="auto"/>
            <w:vAlign w:val="center"/>
          </w:tcPr>
          <w:p>
            <w:pPr>
              <w:pStyle w:val="31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本项目正常排放源√</w:t>
            </w:r>
          </w:p>
          <w:p>
            <w:pPr>
              <w:pStyle w:val="31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本项目非正常排放源□</w:t>
            </w:r>
          </w:p>
          <w:p>
            <w:pPr>
              <w:pStyle w:val="31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现有污染源□</w:t>
            </w:r>
          </w:p>
        </w:tc>
        <w:tc>
          <w:tcPr>
            <w:tcW w:w="1709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拟替代的污染源□</w:t>
            </w:r>
          </w:p>
        </w:tc>
        <w:tc>
          <w:tcPr>
            <w:tcW w:w="1955" w:type="dxa"/>
            <w:gridSpan w:val="9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其他在建、拟建项目污染源□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区域污染源□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大气环境影响预测与评价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预测模型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AERMOD□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ADMS□</w:t>
            </w:r>
          </w:p>
        </w:tc>
        <w:tc>
          <w:tcPr>
            <w:tcW w:w="1133" w:type="dxa"/>
            <w:gridSpan w:val="5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AUSTAL2000□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EDMS/AEDT□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CALPUFF□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网格模型□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其他√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预测范围</w:t>
            </w:r>
          </w:p>
        </w:tc>
        <w:tc>
          <w:tcPr>
            <w:tcW w:w="2059" w:type="dxa"/>
            <w:gridSpan w:val="6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边长=50km□</w:t>
            </w:r>
          </w:p>
        </w:tc>
        <w:tc>
          <w:tcPr>
            <w:tcW w:w="2250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边长5~50km□</w:t>
            </w:r>
          </w:p>
        </w:tc>
        <w:tc>
          <w:tcPr>
            <w:tcW w:w="2270" w:type="dxa"/>
            <w:gridSpan w:val="8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边长=5km√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预测因子</w:t>
            </w:r>
          </w:p>
        </w:tc>
        <w:tc>
          <w:tcPr>
            <w:tcW w:w="3598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预测因子（ </w:t>
            </w:r>
            <w:r>
              <w:rPr>
                <w:rFonts w:hint="eastAsia"/>
                <w:sz w:val="18"/>
                <w:lang w:val="en-US" w:eastAsia="zh-CN"/>
              </w:rPr>
              <w:t>SO</w:t>
            </w:r>
            <w:r>
              <w:rPr>
                <w:rFonts w:hint="eastAsia"/>
                <w:sz w:val="18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18"/>
                <w:lang w:val="en-US" w:eastAsia="zh-CN"/>
              </w:rPr>
              <w:t>、NOx、烟尘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包括二次PM</w:t>
            </w:r>
            <w:r>
              <w:rPr>
                <w:rFonts w:hint="eastAsia"/>
                <w:sz w:val="18"/>
                <w:vertAlign w:val="subscript"/>
              </w:rPr>
              <w:t>2.5</w:t>
            </w:r>
            <w:r>
              <w:rPr>
                <w:rFonts w:hint="eastAsia"/>
                <w:sz w:val="18"/>
              </w:rPr>
              <w:t>□</w:t>
            </w:r>
          </w:p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不包括二次PM</w:t>
            </w:r>
            <w:r>
              <w:rPr>
                <w:rFonts w:hint="eastAsia"/>
                <w:sz w:val="18"/>
                <w:vertAlign w:val="subscript"/>
              </w:rPr>
              <w:t>2.5</w:t>
            </w:r>
            <w:r>
              <w:rPr>
                <w:rFonts w:hint="eastAsia"/>
                <w:sz w:val="18"/>
              </w:rPr>
              <w:t>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正常排放短期浓度贡献值</w:t>
            </w:r>
          </w:p>
        </w:tc>
        <w:tc>
          <w:tcPr>
            <w:tcW w:w="3598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rFonts w:ascii="Gungsuh" w:hAnsi="Gungsuh"/>
                <w:sz w:val="18"/>
                <w:vertAlign w:val="subscript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最大占标率≤</w:t>
            </w:r>
            <w:r>
              <w:rPr>
                <w:sz w:val="18"/>
              </w:rPr>
              <w:t>100</w:t>
            </w:r>
            <w:r>
              <w:rPr>
                <w:rFonts w:hint="eastAsia"/>
                <w:sz w:val="18"/>
              </w:rPr>
              <w:t>%√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最大占标率＞</w:t>
            </w:r>
            <w:r>
              <w:rPr>
                <w:sz w:val="18"/>
              </w:rPr>
              <w:t>100</w:t>
            </w:r>
            <w:r>
              <w:rPr>
                <w:rFonts w:hint="eastAsia"/>
                <w:sz w:val="18"/>
              </w:rPr>
              <w:t>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正常排放年均浓度贡献值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一类区</w:t>
            </w:r>
          </w:p>
        </w:tc>
        <w:tc>
          <w:tcPr>
            <w:tcW w:w="2624" w:type="dxa"/>
            <w:gridSpan w:val="11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最大占标率≤</w:t>
            </w:r>
            <w:r>
              <w:rPr>
                <w:sz w:val="18"/>
              </w:rPr>
              <w:t>10</w:t>
            </w:r>
            <w:r>
              <w:rPr>
                <w:rFonts w:hint="eastAsia"/>
                <w:sz w:val="18"/>
              </w:rPr>
              <w:t>%□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最大占标率＞</w:t>
            </w:r>
            <w:r>
              <w:rPr>
                <w:sz w:val="18"/>
              </w:rPr>
              <w:t>10</w:t>
            </w:r>
            <w:r>
              <w:rPr>
                <w:rFonts w:hint="eastAsia"/>
                <w:sz w:val="18"/>
              </w:rPr>
              <w:t>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二类区</w:t>
            </w:r>
          </w:p>
        </w:tc>
        <w:tc>
          <w:tcPr>
            <w:tcW w:w="2624" w:type="dxa"/>
            <w:gridSpan w:val="11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最大占标率≤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  <w:r>
              <w:rPr>
                <w:rFonts w:hint="eastAsia"/>
                <w:sz w:val="18"/>
              </w:rPr>
              <w:t>%√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最大占标率＞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  <w:r>
              <w:rPr>
                <w:rFonts w:hint="eastAsia"/>
                <w:sz w:val="18"/>
              </w:rPr>
              <w:t>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非正常排放1h浓度贡献值</w:t>
            </w:r>
          </w:p>
        </w:tc>
        <w:tc>
          <w:tcPr>
            <w:tcW w:w="1902" w:type="dxa"/>
            <w:gridSpan w:val="5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非正常持续时长（   ）h</w:t>
            </w:r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占标率≤</w:t>
            </w:r>
            <w:r>
              <w:rPr>
                <w:sz w:val="18"/>
              </w:rPr>
              <w:t>100</w:t>
            </w:r>
            <w:r>
              <w:rPr>
                <w:rFonts w:hint="eastAsia"/>
                <w:sz w:val="18"/>
              </w:rPr>
              <w:t>%√</w:t>
            </w:r>
          </w:p>
        </w:tc>
        <w:tc>
          <w:tcPr>
            <w:tcW w:w="2409" w:type="dxa"/>
            <w:gridSpan w:val="9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本项目</w:t>
            </w:r>
            <w:r>
              <w:rPr>
                <w:rFonts w:hint="eastAsia" w:ascii="Gungsuh" w:hAnsi="Gungsuh"/>
                <w:sz w:val="18"/>
              </w:rPr>
              <w:t>占标率＞</w:t>
            </w:r>
            <w:r>
              <w:rPr>
                <w:sz w:val="18"/>
              </w:rPr>
              <w:t>100</w:t>
            </w:r>
            <w:r>
              <w:rPr>
                <w:rFonts w:hint="eastAsia"/>
                <w:sz w:val="18"/>
              </w:rPr>
              <w:t>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保证率日均浓度和年均浓度叠加值</w:t>
            </w:r>
          </w:p>
        </w:tc>
        <w:tc>
          <w:tcPr>
            <w:tcW w:w="3598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叠加</w:t>
            </w:r>
            <w:r>
              <w:rPr>
                <w:rFonts w:hint="eastAsia" w:ascii="Gungsuh" w:hAnsi="Gungsuh"/>
                <w:sz w:val="18"/>
              </w:rPr>
              <w:t>达标</w:t>
            </w:r>
            <w:r>
              <w:rPr>
                <w:rFonts w:hint="eastAsia"/>
                <w:sz w:val="18"/>
              </w:rPr>
              <w:t>√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 w:ascii="Gungsuh" w:hAnsi="Gungsuh" w:eastAsia="Gungsuh"/>
                <w:sz w:val="18"/>
              </w:rPr>
              <w:t>C</w:t>
            </w:r>
            <w:r>
              <w:rPr>
                <w:rFonts w:hint="eastAsia" w:ascii="Gungsuh" w:hAnsi="Gungsuh"/>
                <w:sz w:val="18"/>
                <w:vertAlign w:val="subscript"/>
              </w:rPr>
              <w:t>叠加不</w:t>
            </w:r>
            <w:r>
              <w:rPr>
                <w:rFonts w:hint="eastAsia" w:ascii="Gungsuh" w:hAnsi="Gungsuh"/>
                <w:sz w:val="18"/>
              </w:rPr>
              <w:t>达标</w:t>
            </w:r>
            <w:r>
              <w:rPr>
                <w:rFonts w:hint="eastAsia"/>
                <w:sz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区域环境质量的整体变化情况</w:t>
            </w:r>
          </w:p>
        </w:tc>
        <w:tc>
          <w:tcPr>
            <w:tcW w:w="3598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sz w:val="18"/>
              </w:rPr>
              <w:t xml:space="preserve">K </w:t>
            </w:r>
            <w:r>
              <w:rPr>
                <w:rFonts w:ascii="宋体" w:hAnsi="宋体"/>
                <w:sz w:val="18"/>
              </w:rPr>
              <w:t>≤</w:t>
            </w:r>
            <w:r>
              <w:rPr>
                <w:sz w:val="18"/>
              </w:rPr>
              <w:t>-</w:t>
            </w:r>
            <w:r>
              <w:rPr>
                <w:rFonts w:hint="eastAsia"/>
                <w:sz w:val="18"/>
              </w:rPr>
              <w:t>20%√</w:t>
            </w:r>
          </w:p>
        </w:tc>
        <w:tc>
          <w:tcPr>
            <w:tcW w:w="2981" w:type="dxa"/>
            <w:gridSpan w:val="12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sz w:val="18"/>
              </w:rPr>
              <w:t xml:space="preserve">K </w:t>
            </w:r>
            <w:r>
              <w:rPr>
                <w:rFonts w:hint="eastAsia" w:ascii="宋体" w:hAnsi="宋体"/>
                <w:sz w:val="18"/>
              </w:rPr>
              <w:t>＞</w:t>
            </w:r>
            <w:r>
              <w:rPr>
                <w:sz w:val="18"/>
              </w:rPr>
              <w:t>-</w:t>
            </w:r>
            <w:r>
              <w:rPr>
                <w:rFonts w:hint="eastAsia"/>
                <w:sz w:val="18"/>
              </w:rPr>
              <w:t>20%□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环境监测计划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污染源监测</w:t>
            </w:r>
          </w:p>
        </w:tc>
        <w:tc>
          <w:tcPr>
            <w:tcW w:w="2469" w:type="dxa"/>
            <w:gridSpan w:val="8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监测因子：（）</w:t>
            </w:r>
          </w:p>
        </w:tc>
        <w:tc>
          <w:tcPr>
            <w:tcW w:w="2772" w:type="dxa"/>
            <w:gridSpan w:val="1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有组织废气监测□</w:t>
            </w:r>
          </w:p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无组织废气监测√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无监测□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环境质量监测</w:t>
            </w:r>
          </w:p>
        </w:tc>
        <w:tc>
          <w:tcPr>
            <w:tcW w:w="2469" w:type="dxa"/>
            <w:gridSpan w:val="8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监测因子：（ </w:t>
            </w:r>
            <w:r>
              <w:rPr>
                <w:rFonts w:hint="eastAsia"/>
                <w:sz w:val="18"/>
                <w:lang w:val="en-US" w:eastAsia="zh-CN"/>
              </w:rPr>
              <w:t>SO</w:t>
            </w:r>
            <w:r>
              <w:rPr>
                <w:rFonts w:hint="eastAsia"/>
                <w:sz w:val="18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18"/>
                <w:lang w:val="en-US" w:eastAsia="zh-CN"/>
              </w:rPr>
              <w:t>、NOx、烟尘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2772" w:type="dxa"/>
            <w:gridSpan w:val="1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监测点位数（    1     ）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无监测□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评价结论</w:t>
            </w: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环境影响</w:t>
            </w:r>
          </w:p>
        </w:tc>
        <w:tc>
          <w:tcPr>
            <w:tcW w:w="6579" w:type="dxa"/>
            <w:gridSpan w:val="2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可以接受√         不可以接受□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大气环境防护距离</w:t>
            </w:r>
          </w:p>
        </w:tc>
        <w:tc>
          <w:tcPr>
            <w:tcW w:w="6579" w:type="dxa"/>
            <w:gridSpan w:val="24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距（ ）厂界最远（</w:t>
            </w:r>
            <w:r>
              <w:rPr>
                <w:rFonts w:hint="eastAsia"/>
                <w:sz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</w:rPr>
              <w:t>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污染源年排放量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SO</w:t>
            </w:r>
            <w:r>
              <w:rPr>
                <w:rFonts w:hint="eastAsia"/>
                <w:sz w:val="18"/>
                <w:vertAlign w:val="subscript"/>
              </w:rPr>
              <w:t>2</w:t>
            </w:r>
            <w:r>
              <w:rPr>
                <w:rFonts w:hint="eastAsia"/>
                <w:sz w:val="18"/>
              </w:rPr>
              <w:t>：（）t/a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NO</w:t>
            </w:r>
            <w:r>
              <w:rPr>
                <w:rFonts w:hint="eastAsia"/>
                <w:sz w:val="18"/>
                <w:vertAlign w:val="subscript"/>
              </w:rPr>
              <w:t>X</w:t>
            </w:r>
            <w:r>
              <w:rPr>
                <w:rFonts w:hint="eastAsia"/>
                <w:sz w:val="18"/>
              </w:rPr>
              <w:t>：（）t/a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颗粒物：（）t/a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>
            <w:pPr>
              <w:pStyle w:val="31"/>
              <w:rPr>
                <w:sz w:val="18"/>
              </w:rPr>
            </w:pPr>
            <w:r>
              <w:rPr>
                <w:rFonts w:hint="eastAsia"/>
                <w:sz w:val="18"/>
              </w:rPr>
              <w:t>VOC</w:t>
            </w:r>
            <w:r>
              <w:rPr>
                <w:rFonts w:hint="eastAsia"/>
                <w:sz w:val="18"/>
                <w:vertAlign w:val="subscript"/>
              </w:rPr>
              <w:t>S</w:t>
            </w:r>
            <w:r>
              <w:rPr>
                <w:rFonts w:hint="eastAsia"/>
                <w:sz w:val="18"/>
              </w:rPr>
              <w:t>：（）t/a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80" w:type="dxa"/>
            <w:gridSpan w:val="26"/>
            <w:shd w:val="clear" w:color="auto" w:fill="auto"/>
            <w:vAlign w:val="center"/>
          </w:tcPr>
          <w:p>
            <w:pPr>
              <w:pStyle w:val="31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注：“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</w:rPr>
              <w:t>”勾选项，填“√”；“（  ）”为内容填写项</w:t>
            </w:r>
            <w:bookmarkStart w:id="0" w:name="_GoBack"/>
            <w:bookmarkEnd w:id="0"/>
          </w:p>
        </w:tc>
      </w:tr>
    </w:tbl>
    <w:p>
      <w:pPr>
        <w:pStyle w:val="3"/>
        <w:ind w:firstLine="480"/>
      </w:pPr>
      <w:r>
        <w:rPr>
          <w:rFonts w:hint="eastAsia"/>
        </w:rPr>
        <w:t>附表2：建设项目大气环境影响评价自查表</w:t>
      </w:r>
    </w:p>
    <w:sectPr>
      <w:footerReference r:id="rId3" w:type="default"/>
      <w:pgSz w:w="11906" w:h="16838"/>
      <w:pgMar w:top="1474" w:right="136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2888583"/>
      <w:docPartObj>
        <w:docPartGallery w:val="AutoText"/>
      </w:docPartObj>
    </w:sdtPr>
    <w:sdtEndPr>
      <w:rPr>
        <w:rStyle w:val="23"/>
      </w:rPr>
    </w:sdtEndPr>
    <w:sdtContent>
      <w:p>
        <w:pPr>
          <w:pStyle w:val="17"/>
          <w:jc w:val="center"/>
          <w:rPr>
            <w:rStyle w:val="23"/>
            <w:rFonts w:eastAsia="宋体"/>
          </w:rPr>
        </w:pPr>
        <w:r>
          <w:rPr>
            <w:rStyle w:val="23"/>
            <w:rFonts w:eastAsia="宋体"/>
          </w:rPr>
          <w:fldChar w:fldCharType="begin"/>
        </w:r>
        <w:r>
          <w:rPr>
            <w:rStyle w:val="23"/>
            <w:rFonts w:eastAsia="宋体"/>
          </w:rPr>
          <w:instrText xml:space="preserve">PAGE   \* MERGEFORMAT</w:instrText>
        </w:r>
        <w:r>
          <w:rPr>
            <w:rStyle w:val="23"/>
            <w:rFonts w:eastAsia="宋体"/>
          </w:rPr>
          <w:fldChar w:fldCharType="separate"/>
        </w:r>
        <w:r>
          <w:rPr>
            <w:rStyle w:val="23"/>
            <w:rFonts w:eastAsia="宋体"/>
            <w:lang w:val="zh-CN"/>
          </w:rPr>
          <w:t>1</w:t>
        </w:r>
        <w:r>
          <w:rPr>
            <w:rStyle w:val="23"/>
            <w:rFonts w:eastAsia="宋体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lowerLetter"/>
      <w:pStyle w:val="13"/>
      <w:lvlText w:val="%1)"/>
      <w:lvlJc w:val="left"/>
      <w:pPr>
        <w:ind w:left="63" w:hanging="420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2">
    <w:nsid w:val="5C086DFE"/>
    <w:multiLevelType w:val="multilevel"/>
    <w:tmpl w:val="5C086DFE"/>
    <w:lvl w:ilvl="0" w:tentative="0">
      <w:start w:val="1"/>
      <w:numFmt w:val="decimal"/>
      <w:lvlText w:val="第 %1 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A1"/>
    <w:rsid w:val="00003D63"/>
    <w:rsid w:val="000103DC"/>
    <w:rsid w:val="00013D3C"/>
    <w:rsid w:val="00044769"/>
    <w:rsid w:val="0007080C"/>
    <w:rsid w:val="00083D32"/>
    <w:rsid w:val="000863B5"/>
    <w:rsid w:val="000B40E9"/>
    <w:rsid w:val="00114648"/>
    <w:rsid w:val="0014068A"/>
    <w:rsid w:val="001518EC"/>
    <w:rsid w:val="0016472E"/>
    <w:rsid w:val="00183008"/>
    <w:rsid w:val="001A0B2D"/>
    <w:rsid w:val="00227CCE"/>
    <w:rsid w:val="00244721"/>
    <w:rsid w:val="002479B5"/>
    <w:rsid w:val="002716F2"/>
    <w:rsid w:val="002723DD"/>
    <w:rsid w:val="00343F81"/>
    <w:rsid w:val="00380A82"/>
    <w:rsid w:val="00387FF9"/>
    <w:rsid w:val="00393851"/>
    <w:rsid w:val="003A70D0"/>
    <w:rsid w:val="003D0068"/>
    <w:rsid w:val="003E2A87"/>
    <w:rsid w:val="003F169F"/>
    <w:rsid w:val="00404EA5"/>
    <w:rsid w:val="00432D6B"/>
    <w:rsid w:val="00442C88"/>
    <w:rsid w:val="00445BC2"/>
    <w:rsid w:val="00482630"/>
    <w:rsid w:val="00576F96"/>
    <w:rsid w:val="0059760B"/>
    <w:rsid w:val="005A7315"/>
    <w:rsid w:val="005F158A"/>
    <w:rsid w:val="005F6527"/>
    <w:rsid w:val="0061168B"/>
    <w:rsid w:val="00611C41"/>
    <w:rsid w:val="0062603E"/>
    <w:rsid w:val="006308EA"/>
    <w:rsid w:val="00681E9B"/>
    <w:rsid w:val="00701389"/>
    <w:rsid w:val="00705BF3"/>
    <w:rsid w:val="00740A45"/>
    <w:rsid w:val="007B3C3B"/>
    <w:rsid w:val="007B5D01"/>
    <w:rsid w:val="007E38AA"/>
    <w:rsid w:val="0081318C"/>
    <w:rsid w:val="00836A29"/>
    <w:rsid w:val="00875931"/>
    <w:rsid w:val="008B774E"/>
    <w:rsid w:val="008D3646"/>
    <w:rsid w:val="008E3573"/>
    <w:rsid w:val="00943BA2"/>
    <w:rsid w:val="0095117F"/>
    <w:rsid w:val="009640CA"/>
    <w:rsid w:val="00965391"/>
    <w:rsid w:val="009701CB"/>
    <w:rsid w:val="0099745D"/>
    <w:rsid w:val="009C28B2"/>
    <w:rsid w:val="009E707A"/>
    <w:rsid w:val="00A60E52"/>
    <w:rsid w:val="00A72397"/>
    <w:rsid w:val="00A7483E"/>
    <w:rsid w:val="00A80474"/>
    <w:rsid w:val="00A808B5"/>
    <w:rsid w:val="00A9035E"/>
    <w:rsid w:val="00AA5F69"/>
    <w:rsid w:val="00AC3AB1"/>
    <w:rsid w:val="00AC66BE"/>
    <w:rsid w:val="00B22359"/>
    <w:rsid w:val="00B81C7C"/>
    <w:rsid w:val="00B90AEB"/>
    <w:rsid w:val="00BC5A8E"/>
    <w:rsid w:val="00BD27D0"/>
    <w:rsid w:val="00BE15FC"/>
    <w:rsid w:val="00C63D08"/>
    <w:rsid w:val="00C6707B"/>
    <w:rsid w:val="00C76D5F"/>
    <w:rsid w:val="00CA4866"/>
    <w:rsid w:val="00CD559A"/>
    <w:rsid w:val="00D074C0"/>
    <w:rsid w:val="00D2140B"/>
    <w:rsid w:val="00D70007"/>
    <w:rsid w:val="00DC549F"/>
    <w:rsid w:val="00E01FB7"/>
    <w:rsid w:val="00E345A1"/>
    <w:rsid w:val="00E51B65"/>
    <w:rsid w:val="00E644A9"/>
    <w:rsid w:val="00E91F8B"/>
    <w:rsid w:val="00E9265F"/>
    <w:rsid w:val="00F03FE3"/>
    <w:rsid w:val="00F32A86"/>
    <w:rsid w:val="00F34BC3"/>
    <w:rsid w:val="00F51F02"/>
    <w:rsid w:val="00F62488"/>
    <w:rsid w:val="00F766D5"/>
    <w:rsid w:val="00F8222C"/>
    <w:rsid w:val="00FC5434"/>
    <w:rsid w:val="00FC70B5"/>
    <w:rsid w:val="06F4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uiPriority="9" w:name="heading 6"/>
    <w:lsdException w:qFormat="1" w:uiPriority="9" w:name="heading 7"/>
    <w:lsdException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firstLine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3"/>
    <w:link w:val="25"/>
    <w:qFormat/>
    <w:uiPriority w:val="9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3"/>
    <w:link w:val="24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1"/>
    </w:pPr>
    <w:rPr>
      <w:rFonts w:ascii="Times New Roman" w:hAnsi="Times New Roman" w:eastAsia="黑体" w:cstheme="majorBidi"/>
      <w:bCs/>
      <w:sz w:val="24"/>
      <w:szCs w:val="32"/>
    </w:rPr>
  </w:style>
  <w:style w:type="paragraph" w:styleId="6">
    <w:name w:val="heading 3"/>
    <w:basedOn w:val="1"/>
    <w:next w:val="3"/>
    <w:link w:val="26"/>
    <w:unhideWhenUsed/>
    <w:qFormat/>
    <w:uiPriority w:val="9"/>
    <w:pPr>
      <w:keepNext/>
      <w:keepLines/>
      <w:widowControl/>
      <w:adjustRightInd w:val="0"/>
      <w:snapToGrid w:val="0"/>
      <w:spacing w:line="360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7">
    <w:name w:val="heading 4"/>
    <w:basedOn w:val="1"/>
    <w:next w:val="3"/>
    <w:link w:val="27"/>
    <w:unhideWhenUsed/>
    <w:qFormat/>
    <w:uiPriority w:val="9"/>
    <w:pPr>
      <w:keepNext/>
      <w:keepLines/>
      <w:widowControl/>
      <w:adjustRightInd w:val="0"/>
      <w:snapToGrid w:val="0"/>
      <w:spacing w:line="360" w:lineRule="auto"/>
      <w:jc w:val="left"/>
      <w:outlineLvl w:val="3"/>
    </w:pPr>
    <w:rPr>
      <w:rFonts w:ascii="Times New Roman" w:hAnsi="Times New Roman" w:eastAsia="宋体" w:cstheme="majorBidi"/>
      <w:bCs/>
      <w:sz w:val="24"/>
      <w:szCs w:val="28"/>
    </w:rPr>
  </w:style>
  <w:style w:type="paragraph" w:styleId="8">
    <w:name w:val="heading 5"/>
    <w:basedOn w:val="1"/>
    <w:next w:val="1"/>
    <w:link w:val="34"/>
    <w:semiHidden/>
    <w:unhideWhenUsed/>
    <w:uiPriority w:val="9"/>
    <w:pPr>
      <w:keepNext/>
      <w:keepLines/>
      <w:widowControl/>
      <w:numPr>
        <w:ilvl w:val="4"/>
        <w:numId w:val="1"/>
      </w:numPr>
      <w:adjustRightInd w:val="0"/>
      <w:snapToGrid w:val="0"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9">
    <w:name w:val="heading 6"/>
    <w:basedOn w:val="1"/>
    <w:next w:val="1"/>
    <w:link w:val="35"/>
    <w:semiHidden/>
    <w:unhideWhenUsed/>
    <w:uiPriority w:val="9"/>
    <w:pPr>
      <w:keepNext/>
      <w:keepLines/>
      <w:widowControl/>
      <w:numPr>
        <w:ilvl w:val="5"/>
        <w:numId w:val="1"/>
      </w:numPr>
      <w:adjustRightInd w:val="0"/>
      <w:snapToGrid w:val="0"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0">
    <w:name w:val="heading 7"/>
    <w:basedOn w:val="1"/>
    <w:next w:val="1"/>
    <w:link w:val="36"/>
    <w:semiHidden/>
    <w:unhideWhenUsed/>
    <w:qFormat/>
    <w:uiPriority w:val="9"/>
    <w:pPr>
      <w:keepNext/>
      <w:keepLines/>
      <w:widowControl/>
      <w:numPr>
        <w:ilvl w:val="6"/>
        <w:numId w:val="1"/>
      </w:numPr>
      <w:adjustRightInd w:val="0"/>
      <w:snapToGrid w:val="0"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37"/>
    <w:semiHidden/>
    <w:unhideWhenUsed/>
    <w:uiPriority w:val="9"/>
    <w:pPr>
      <w:keepNext/>
      <w:keepLines/>
      <w:widowControl/>
      <w:numPr>
        <w:ilvl w:val="7"/>
        <w:numId w:val="1"/>
      </w:numPr>
      <w:adjustRightInd w:val="0"/>
      <w:snapToGrid w:val="0"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38"/>
    <w:semiHidden/>
    <w:unhideWhenUsed/>
    <w:qFormat/>
    <w:uiPriority w:val="9"/>
    <w:pPr>
      <w:keepNext/>
      <w:keepLines/>
      <w:widowControl/>
      <w:numPr>
        <w:ilvl w:val="8"/>
        <w:numId w:val="1"/>
      </w:numPr>
      <w:adjustRightInd w:val="0"/>
      <w:snapToGrid w:val="0"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30"/>
    <w:unhideWhenUsed/>
    <w:qFormat/>
    <w:uiPriority w:val="99"/>
    <w:pPr>
      <w:spacing w:after="0" w:line="360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widowControl/>
      <w:adjustRightInd w:val="0"/>
      <w:snapToGrid w:val="0"/>
      <w:spacing w:after="120"/>
    </w:pPr>
    <w:rPr>
      <w:szCs w:val="21"/>
    </w:rPr>
  </w:style>
  <w:style w:type="paragraph" w:styleId="13">
    <w:name w:val="List Number"/>
    <w:basedOn w:val="3"/>
    <w:unhideWhenUsed/>
    <w:qFormat/>
    <w:uiPriority w:val="99"/>
    <w:pPr>
      <w:numPr>
        <w:ilvl w:val="0"/>
        <w:numId w:val="2"/>
      </w:numPr>
      <w:ind w:left="0" w:firstLine="200"/>
    </w:pPr>
  </w:style>
  <w:style w:type="paragraph" w:styleId="14">
    <w:name w:val="caption"/>
    <w:basedOn w:val="1"/>
    <w:next w:val="3"/>
    <w:unhideWhenUsed/>
    <w:qFormat/>
    <w:uiPriority w:val="35"/>
    <w:pPr>
      <w:widowControl/>
      <w:adjustRightInd w:val="0"/>
      <w:snapToGrid w:val="0"/>
      <w:jc w:val="center"/>
    </w:pPr>
    <w:rPr>
      <w:rFonts w:ascii="Times New Roman" w:hAnsi="Times New Roman" w:eastAsia="黑体" w:cstheme="majorBidi"/>
      <w:sz w:val="24"/>
      <w:szCs w:val="20"/>
    </w:rPr>
  </w:style>
  <w:style w:type="paragraph" w:styleId="15">
    <w:name w:val="List Bullet"/>
    <w:basedOn w:val="1"/>
    <w:unhideWhenUsed/>
    <w:qFormat/>
    <w:uiPriority w:val="99"/>
    <w:pPr>
      <w:widowControl/>
      <w:numPr>
        <w:ilvl w:val="0"/>
        <w:numId w:val="3"/>
      </w:numPr>
      <w:adjustRightInd w:val="0"/>
      <w:snapToGrid w:val="0"/>
      <w:contextualSpacing/>
    </w:pPr>
    <w:rPr>
      <w:szCs w:val="21"/>
    </w:rPr>
  </w:style>
  <w:style w:type="paragraph" w:styleId="16">
    <w:name w:val="Balloon Text"/>
    <w:basedOn w:val="1"/>
    <w:link w:val="33"/>
    <w:semiHidden/>
    <w:unhideWhenUsed/>
    <w:qFormat/>
    <w:uiPriority w:val="99"/>
    <w:pPr>
      <w:widowControl/>
      <w:adjustRightInd w:val="0"/>
      <w:snapToGrid w:val="0"/>
    </w:pPr>
    <w:rPr>
      <w:sz w:val="18"/>
      <w:szCs w:val="18"/>
    </w:rPr>
  </w:style>
  <w:style w:type="paragraph" w:styleId="17">
    <w:name w:val="footer"/>
    <w:basedOn w:val="1"/>
    <w:link w:val="40"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18">
    <w:name w:val="header"/>
    <w:basedOn w:val="1"/>
    <w:link w:val="39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19">
    <w:name w:val="Title"/>
    <w:basedOn w:val="1"/>
    <w:next w:val="3"/>
    <w:link w:val="28"/>
    <w:qFormat/>
    <w:uiPriority w:val="10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table" w:styleId="21">
    <w:name w:val="Table Grid"/>
    <w:basedOn w:val="20"/>
    <w:qFormat/>
    <w:uiPriority w:val="59"/>
    <w:pPr>
      <w:jc w:val="center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23">
    <w:name w:val="page number"/>
    <w:basedOn w:val="22"/>
    <w:unhideWhenUsed/>
    <w:qFormat/>
    <w:uiPriority w:val="99"/>
    <w:rPr>
      <w:rFonts w:ascii="Times New Roman" w:hAnsi="Times New Roman" w:eastAsia="Times New Roman"/>
      <w:sz w:val="18"/>
    </w:rPr>
  </w:style>
  <w:style w:type="character" w:customStyle="1" w:styleId="24">
    <w:name w:val="标题 2 Char"/>
    <w:basedOn w:val="22"/>
    <w:link w:val="5"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5">
    <w:name w:val="标题 1 Char"/>
    <w:basedOn w:val="22"/>
    <w:link w:val="2"/>
    <w:uiPriority w:val="9"/>
    <w:rPr>
      <w:rFonts w:ascii="Times New Roman" w:hAnsi="Times New Roman" w:eastAsia="黑体"/>
      <w:bCs/>
      <w:kern w:val="44"/>
      <w:sz w:val="24"/>
      <w:szCs w:val="44"/>
    </w:rPr>
  </w:style>
  <w:style w:type="character" w:customStyle="1" w:styleId="26">
    <w:name w:val="标题 3 Char"/>
    <w:basedOn w:val="22"/>
    <w:link w:val="6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7">
    <w:name w:val="标题 4 Char"/>
    <w:basedOn w:val="22"/>
    <w:link w:val="7"/>
    <w:uiPriority w:val="9"/>
    <w:rPr>
      <w:rFonts w:ascii="Times New Roman" w:hAnsi="Times New Roman" w:eastAsia="宋体" w:cstheme="majorBidi"/>
      <w:bCs/>
      <w:sz w:val="24"/>
      <w:szCs w:val="28"/>
    </w:rPr>
  </w:style>
  <w:style w:type="character" w:customStyle="1" w:styleId="28">
    <w:name w:val="标题 Char"/>
    <w:basedOn w:val="22"/>
    <w:link w:val="19"/>
    <w:uiPriority w:val="10"/>
    <w:rPr>
      <w:rFonts w:ascii="Times New Roman" w:hAnsi="Times New Roman" w:eastAsia="华文中宋" w:cstheme="majorBidi"/>
      <w:b/>
      <w:bCs/>
      <w:color w:val="FF0000"/>
      <w:sz w:val="36"/>
      <w:szCs w:val="32"/>
    </w:rPr>
  </w:style>
  <w:style w:type="character" w:customStyle="1" w:styleId="29">
    <w:name w:val="正文文本 Char"/>
    <w:basedOn w:val="22"/>
    <w:link w:val="4"/>
    <w:semiHidden/>
    <w:uiPriority w:val="99"/>
  </w:style>
  <w:style w:type="character" w:customStyle="1" w:styleId="30">
    <w:name w:val="正文首行缩进 Char"/>
    <w:basedOn w:val="29"/>
    <w:link w:val="3"/>
    <w:qFormat/>
    <w:uiPriority w:val="99"/>
    <w:rPr>
      <w:rFonts w:ascii="Times New Roman" w:hAnsi="Times New Roman" w:eastAsia="宋体"/>
      <w:sz w:val="24"/>
    </w:rPr>
  </w:style>
  <w:style w:type="paragraph" w:customStyle="1" w:styleId="31">
    <w:name w:val="表格文字"/>
    <w:basedOn w:val="1"/>
    <w:link w:val="32"/>
    <w:qFormat/>
    <w:uiPriority w:val="0"/>
    <w:pPr>
      <w:widowControl/>
      <w:adjustRightInd w:val="0"/>
      <w:snapToGrid w:val="0"/>
      <w:jc w:val="center"/>
    </w:pPr>
    <w:rPr>
      <w:rFonts w:ascii="Times New Roman" w:hAnsi="Times New Roman" w:eastAsia="宋体"/>
      <w:szCs w:val="21"/>
    </w:rPr>
  </w:style>
  <w:style w:type="character" w:customStyle="1" w:styleId="32">
    <w:name w:val="表格文字 Char"/>
    <w:basedOn w:val="22"/>
    <w:link w:val="31"/>
    <w:qFormat/>
    <w:uiPriority w:val="0"/>
    <w:rPr>
      <w:rFonts w:ascii="Times New Roman" w:hAnsi="Times New Roman" w:eastAsia="宋体"/>
    </w:rPr>
  </w:style>
  <w:style w:type="character" w:customStyle="1" w:styleId="33">
    <w:name w:val="批注框文本 Char"/>
    <w:basedOn w:val="22"/>
    <w:link w:val="16"/>
    <w:semiHidden/>
    <w:qFormat/>
    <w:uiPriority w:val="99"/>
    <w:rPr>
      <w:sz w:val="18"/>
      <w:szCs w:val="18"/>
    </w:rPr>
  </w:style>
  <w:style w:type="character" w:customStyle="1" w:styleId="34">
    <w:name w:val="标题 5 Char"/>
    <w:basedOn w:val="22"/>
    <w:link w:val="8"/>
    <w:semiHidden/>
    <w:qFormat/>
    <w:uiPriority w:val="9"/>
    <w:rPr>
      <w:b/>
      <w:bCs/>
      <w:sz w:val="28"/>
      <w:szCs w:val="28"/>
    </w:rPr>
  </w:style>
  <w:style w:type="character" w:customStyle="1" w:styleId="35">
    <w:name w:val="标题 6 Char"/>
    <w:basedOn w:val="22"/>
    <w:link w:val="9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标题 7 Char"/>
    <w:basedOn w:val="22"/>
    <w:link w:val="10"/>
    <w:semiHidden/>
    <w:uiPriority w:val="9"/>
    <w:rPr>
      <w:b/>
      <w:bCs/>
      <w:sz w:val="24"/>
      <w:szCs w:val="24"/>
    </w:rPr>
  </w:style>
  <w:style w:type="character" w:customStyle="1" w:styleId="37">
    <w:name w:val="标题 8 Char"/>
    <w:basedOn w:val="22"/>
    <w:link w:val="11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2"/>
    <w:link w:val="12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9">
    <w:name w:val="页眉 Char"/>
    <w:basedOn w:val="22"/>
    <w:link w:val="18"/>
    <w:uiPriority w:val="99"/>
    <w:rPr>
      <w:sz w:val="18"/>
      <w:szCs w:val="18"/>
    </w:rPr>
  </w:style>
  <w:style w:type="character" w:customStyle="1" w:styleId="40">
    <w:name w:val="页脚 Char"/>
    <w:basedOn w:val="22"/>
    <w:link w:val="17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1ABDC2-7E37-4998-A812-1CDBFEA7B0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159</Words>
  <Characters>912</Characters>
  <Lines>7</Lines>
  <Paragraphs>2</Paragraphs>
  <TotalTime>1</TotalTime>
  <ScaleCrop>false</ScaleCrop>
  <LinksUpToDate>false</LinksUpToDate>
  <CharactersWithSpaces>1069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2019-07-10T09:52:00Z</dcterms:created>
  <dc:creator>User</dc:creator>
  <cp:lastModifiedBy>沈振</cp:lastModifiedBy>
  <dcterms:modified xsi:type="dcterms:W3CDTF">2020-08-06T23:19:04Z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